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B6C2" w14:textId="77777777" w:rsidR="009B3003" w:rsidRDefault="009B3003" w:rsidP="009B3003">
      <w:pPr>
        <w:tabs>
          <w:tab w:val="center" w:pos="4819"/>
        </w:tabs>
        <w:jc w:val="center"/>
      </w:pPr>
      <w:r>
        <w:rPr>
          <w:b/>
        </w:rPr>
        <w:t>TURTO NUOMOS TVARKOS APRAŠAS</w:t>
      </w:r>
    </w:p>
    <w:p w14:paraId="440C0C6A" w14:textId="77777777" w:rsidR="009B3003" w:rsidRDefault="009B3003" w:rsidP="009B3003">
      <w:pPr>
        <w:tabs>
          <w:tab w:val="center" w:pos="6259"/>
        </w:tabs>
        <w:ind w:left="720"/>
        <w:jc w:val="center"/>
      </w:pPr>
    </w:p>
    <w:p w14:paraId="1D45137B" w14:textId="77777777" w:rsidR="009B3003" w:rsidRDefault="009B3003" w:rsidP="009B3003">
      <w:pPr>
        <w:tabs>
          <w:tab w:val="left" w:pos="1125"/>
          <w:tab w:val="center" w:pos="4819"/>
        </w:tabs>
        <w:ind w:firstLine="851"/>
        <w:jc w:val="both"/>
      </w:pPr>
    </w:p>
    <w:p w14:paraId="7E090868" w14:textId="71F1323C" w:rsidR="009B3003" w:rsidRDefault="009B3003" w:rsidP="009B3003">
      <w:pPr>
        <w:jc w:val="both"/>
        <w:rPr>
          <w:rFonts w:cs="Times New Roman"/>
          <w:sz w:val="22"/>
          <w:szCs w:val="22"/>
        </w:rPr>
      </w:pPr>
      <w:r w:rsidRPr="00A46115">
        <w:rPr>
          <w:rFonts w:cs="Times New Roman"/>
          <w:sz w:val="22"/>
          <w:szCs w:val="22"/>
        </w:rPr>
        <w:t>(ištrauka iš Šiaulių miesto savivaldybei nuosavybės teise priklausančio ar patikėjimo teise valdomo turto nuomos tvarkos aprašo, patvirtinto Šiaulių miesto savivaldybės tarybos 20</w:t>
      </w:r>
      <w:r>
        <w:rPr>
          <w:rFonts w:cs="Times New Roman"/>
          <w:sz w:val="22"/>
          <w:szCs w:val="22"/>
        </w:rPr>
        <w:t>22</w:t>
      </w:r>
      <w:r w:rsidRPr="00A46115">
        <w:rPr>
          <w:rFonts w:cs="Times New Roman"/>
          <w:sz w:val="22"/>
          <w:szCs w:val="22"/>
        </w:rPr>
        <w:t xml:space="preserve"> m. </w:t>
      </w:r>
      <w:r>
        <w:rPr>
          <w:rFonts w:cs="Times New Roman"/>
          <w:sz w:val="22"/>
          <w:szCs w:val="22"/>
        </w:rPr>
        <w:t>spalio</w:t>
      </w:r>
      <w:r w:rsidRPr="00A46115">
        <w:rPr>
          <w:rFonts w:cs="Times New Roman"/>
          <w:sz w:val="22"/>
          <w:szCs w:val="22"/>
        </w:rPr>
        <w:t xml:space="preserve"> </w:t>
      </w:r>
      <w:r>
        <w:rPr>
          <w:rFonts w:cs="Times New Roman"/>
          <w:sz w:val="22"/>
          <w:szCs w:val="22"/>
        </w:rPr>
        <w:t>6</w:t>
      </w:r>
      <w:r w:rsidRPr="00A46115">
        <w:rPr>
          <w:rFonts w:cs="Times New Roman"/>
          <w:sz w:val="22"/>
          <w:szCs w:val="22"/>
        </w:rPr>
        <w:t xml:space="preserve"> d. sprendimu Nr. T-</w:t>
      </w:r>
      <w:r>
        <w:rPr>
          <w:rFonts w:cs="Times New Roman"/>
          <w:sz w:val="22"/>
          <w:szCs w:val="22"/>
        </w:rPr>
        <w:t>376</w:t>
      </w:r>
      <w:r w:rsidRPr="00A46115">
        <w:rPr>
          <w:rFonts w:cs="Times New Roman"/>
          <w:sz w:val="22"/>
          <w:szCs w:val="22"/>
        </w:rPr>
        <w:t>)</w:t>
      </w:r>
    </w:p>
    <w:p w14:paraId="4D211604" w14:textId="445C1BEE" w:rsidR="009B3003" w:rsidRPr="009B3003" w:rsidRDefault="009B3003" w:rsidP="009B3003">
      <w:pPr>
        <w:jc w:val="both"/>
        <w:rPr>
          <w:rFonts w:cs="Times New Roman"/>
          <w:sz w:val="22"/>
          <w:szCs w:val="22"/>
        </w:rPr>
      </w:pPr>
    </w:p>
    <w:p w14:paraId="7F4E9120" w14:textId="77777777" w:rsidR="009B3003" w:rsidRPr="009B3003" w:rsidRDefault="009B3003" w:rsidP="009B3003">
      <w:pPr>
        <w:pStyle w:val="Standard"/>
        <w:ind w:firstLine="851"/>
        <w:jc w:val="both"/>
        <w:rPr>
          <w:rFonts w:cs="Times New Roman"/>
          <w:b/>
          <w:bCs/>
          <w:strike/>
          <w:sz w:val="22"/>
          <w:szCs w:val="22"/>
        </w:rPr>
      </w:pPr>
    </w:p>
    <w:p w14:paraId="04227995"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16. Paraiškos dalyvauti turto nuomos konkurse priimamos tik skelbime nurodytoje vietoje ir nustatytu laiku.</w:t>
      </w:r>
    </w:p>
    <w:p w14:paraId="399EED7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17. Turto nuomos konkurso dalyviai, norintys dalyvauti </w:t>
      </w:r>
      <w:r w:rsidRPr="009B3003">
        <w:rPr>
          <w:rFonts w:eastAsia="Times New Roman" w:cs="Times New Roman"/>
          <w:sz w:val="22"/>
          <w:szCs w:val="22"/>
          <w:lang w:eastAsia="en-US" w:bidi="ar-SA"/>
        </w:rPr>
        <w:t xml:space="preserve">turto </w:t>
      </w:r>
      <w:r w:rsidRPr="009B3003">
        <w:rPr>
          <w:rFonts w:cs="Times New Roman"/>
          <w:sz w:val="22"/>
          <w:szCs w:val="22"/>
        </w:rPr>
        <w:t xml:space="preserve">nuomos konkurse, arba jų atstovai iki skelbime nurodyto registravimo pabaigos laiko turto nuomos konkurso sąlygose nurodytu adresu pateikia užklijuotą voką, ant kurio turi būti užrašyta: </w:t>
      </w:r>
      <w:r w:rsidRPr="009B3003">
        <w:rPr>
          <w:rFonts w:eastAsia="Times New Roman" w:cs="Times New Roman"/>
          <w:sz w:val="22"/>
          <w:szCs w:val="22"/>
          <w:lang w:eastAsia="en-US" w:bidi="ar-SA"/>
        </w:rPr>
        <w:t xml:space="preserve">turto nuomos </w:t>
      </w:r>
      <w:r w:rsidRPr="009B3003">
        <w:rPr>
          <w:rFonts w:cs="Times New Roman"/>
          <w:sz w:val="22"/>
          <w:szCs w:val="22"/>
        </w:rPr>
        <w:t>konkurso dalyvio pavadinimas ir adresas, turto, kurio nuomos konkursas buvo paskelbtas, pavadinimas, adresas ir nuoroda ,,Turto nuomos konkursui. Neatplėšti iki turto nuomos konkurso dienos“. Kartu su voku pateikiami finansų įstaigos išduoti dokumentai, patvirtinantys, kad pradinis įnašas sumokėtas. Voke turi būti pateikti šie dokumentai:</w:t>
      </w:r>
    </w:p>
    <w:p w14:paraId="2108F21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17.1. paraiška, kurioje nurodoma turto nuomos konkurso dalyvio ar jo įgalioto asmens vardas, pavardė, gyvenamosios vietos adresas (fiziniams asmenims) arba asmens teisinė forma, įmonės pavadinimas ir kodas (juridiniams asmenims), adresas (buveinė), steigimo dokumentų ar kitų steigimo faktą patvirtinančių dokumentų kopijos (šie reikalavimai taikomi juridiniams asmenims), kontaktinio asmens telefono numeris, banko pavadinimas ir adresas, sąskaitos numeris, elektroninio pašto adresas, dokumentas, patvirtinantis, kad pradinis įnašas sumokėtas;</w:t>
      </w:r>
    </w:p>
    <w:p w14:paraId="6F3CC3A8" w14:textId="77777777" w:rsidR="009B3003" w:rsidRPr="009B3003" w:rsidRDefault="009B3003" w:rsidP="009B3003">
      <w:pPr>
        <w:pStyle w:val="Standard"/>
        <w:tabs>
          <w:tab w:val="left" w:pos="993"/>
        </w:tabs>
        <w:ind w:firstLine="851"/>
        <w:jc w:val="both"/>
        <w:rPr>
          <w:rFonts w:cs="Times New Roman"/>
          <w:sz w:val="22"/>
          <w:szCs w:val="22"/>
        </w:rPr>
      </w:pPr>
      <w:r w:rsidRPr="009B3003">
        <w:rPr>
          <w:rFonts w:cs="Times New Roman"/>
          <w:sz w:val="22"/>
          <w:szCs w:val="22"/>
        </w:rPr>
        <w:t>17.2. nustatyta tvarka patvirtintas įgaliojimas, jeigu turto nuomos konkurso dalyviui turto nuomos konkurse atstovauja jo įgaliotas asmuo;</w:t>
      </w:r>
    </w:p>
    <w:p w14:paraId="092AF9AC"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17.3. pasiūlymas, kuriame nurodytas konkretus turto nuomos mokesčio dydis su PVM arba be PVM;</w:t>
      </w:r>
    </w:p>
    <w:p w14:paraId="50B8F5DA"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17.4. </w:t>
      </w:r>
      <w:bookmarkStart w:id="0" w:name="_Hlk71208326"/>
      <w:r w:rsidRPr="009B3003">
        <w:rPr>
          <w:rFonts w:cs="Times New Roman"/>
          <w:sz w:val="22"/>
          <w:szCs w:val="22"/>
        </w:rPr>
        <w:t>kai išnuomojami pastatai ar patalpos, kuriems teisės aktų nustatyta tvarka taikomos specialiosios charakteristikos, įskaitant leidimų sistemą, – informacija apie atitiktį turto nuomos konkurso sąlygose nustatytoms išnuomojamo turto specialiosioms charakteristikoms;</w:t>
      </w:r>
    </w:p>
    <w:bookmarkEnd w:id="0"/>
    <w:p w14:paraId="62BC992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17.5. turto nuomos konkurso dalyvio ar jo įgalioto asmens sąskaita, į kurią Komisija turi pervesti grąžinamą pradinį įnašą, rekvizitai;</w:t>
      </w:r>
    </w:p>
    <w:p w14:paraId="784BD7F6"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17.6. paaiškinimas, kokiam tikslui turto nuomos konkurso dalyvis siekia naudoti nuomojamą turtą.</w:t>
      </w:r>
    </w:p>
    <w:p w14:paraId="10A8E910"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18. Turto nuomos konkurso dalyviai registruojami turto (nurodomas pavadinimas ir adresas)  nuomos konkurso dalyvių registracijos lape. Turto nuomos konkurso dalyvius registruoja turto nuomotojo  atstovas.</w:t>
      </w:r>
    </w:p>
    <w:p w14:paraId="3B01C57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19. Turto nuomos konkurso duomenų registracijos lape turi būti šie rekvizitai: turto nuomos konkurso dalyvio registracijos eilės numeris, voko su paraiška gavimo data ir laikas (minučių tikslumu), turto nuomos konkurso dalyvio pavadinimas. Turto nuomos konkurso dalyvio registracijos eilės numeris užrašomas ant turto nuomos konkurso dalyvio pateikto užklijuoto voko.</w:t>
      </w:r>
    </w:p>
    <w:p w14:paraId="4E01E22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20. Turto nuomos konkurso dalyviui išduodamas, jeigu jis pats dalyvauja registruojant dokumentus, arba paštu išsiunčiamas turto nuomos konkurso dalyvio registracijos pažymėjimas, kuriame nurodytas registracijos eilės numeris, voko gavimo data ir laikas (minčių tikslumu), Nuomos Komisijos posėdžio vieta (adresas), data, tikslus laikas ir kita papildoma informacija, jei turto nuomos konkursas vykdomas karantino laikotarpiu.</w:t>
      </w:r>
    </w:p>
    <w:p w14:paraId="394D4C7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 Neregistruojami kaip turto nuomos konkurso dalyviai asmenys:</w:t>
      </w:r>
    </w:p>
    <w:p w14:paraId="657BD68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21.1. nesumokėję pradinio įnašo ir nepateikę dokumentų, patvirtinančių, kad šis įnašas sumokėtas. </w:t>
      </w:r>
      <w:bookmarkStart w:id="1" w:name="_Hlk71208612"/>
      <w:r w:rsidRPr="009B3003">
        <w:rPr>
          <w:rFonts w:cs="Times New Roman"/>
          <w:sz w:val="22"/>
          <w:szCs w:val="22"/>
        </w:rPr>
        <w:t>Dokumentas, patvirtinantis, kad pradinis įnašas sumokėtas, turi būti pridedamas teikiant voką;</w:t>
      </w:r>
      <w:bookmarkEnd w:id="1"/>
    </w:p>
    <w:p w14:paraId="5AE13289"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21.2. pateikę neužklijuotą, pažeistą voką arba pateikę voką pasibaigus skelbime nurodytam dokumentų registravimo laikui;</w:t>
      </w:r>
    </w:p>
    <w:p w14:paraId="0C5C8E89"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21.3. jeigu pagal užrašą ant gauto užklijuoto voko neįmanoma identifikuoti norimo išsinuomoti turto;</w:t>
      </w:r>
    </w:p>
    <w:p w14:paraId="55D4CC4D"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21.4. jeigu nurodyti trūkumai neištaisomi, kol dokumentai registruojami.</w:t>
      </w:r>
    </w:p>
    <w:p w14:paraId="5FAE781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22. Asmenims, kurie dėl Aprašo 21 punkte nurodytų priežasčių neregistruoti kaip turto nuomos konkurso dalyviai, </w:t>
      </w:r>
      <w:bookmarkStart w:id="2" w:name="_Hlk71208845"/>
      <w:r w:rsidRPr="009B3003">
        <w:rPr>
          <w:rFonts w:cs="Times New Roman"/>
          <w:sz w:val="22"/>
          <w:szCs w:val="22"/>
        </w:rPr>
        <w:t xml:space="preserve">pateikti dokumentai </w:t>
      </w:r>
      <w:bookmarkEnd w:id="2"/>
      <w:r w:rsidRPr="009B3003">
        <w:rPr>
          <w:rFonts w:cs="Times New Roman"/>
          <w:sz w:val="22"/>
          <w:szCs w:val="22"/>
        </w:rPr>
        <w:t>ne vėliau kaip kitą darbo dieną po dokumentų gavimo išsiunčiami registruotu laišku.</w:t>
      </w:r>
    </w:p>
    <w:p w14:paraId="43420D8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23. Įregistruotas </w:t>
      </w:r>
      <w:bookmarkStart w:id="3" w:name="_Hlk79393359"/>
      <w:r w:rsidRPr="009B3003">
        <w:rPr>
          <w:rFonts w:cs="Times New Roman"/>
          <w:sz w:val="22"/>
          <w:szCs w:val="22"/>
        </w:rPr>
        <w:t xml:space="preserve">turto </w:t>
      </w:r>
      <w:bookmarkEnd w:id="3"/>
      <w:r w:rsidRPr="009B3003">
        <w:rPr>
          <w:rFonts w:cs="Times New Roman"/>
          <w:sz w:val="22"/>
          <w:szCs w:val="22"/>
        </w:rPr>
        <w:t xml:space="preserve">nuomos konkurso dalyvis iki skelbime nurodyto dokumentų registravimo termino pabaigos turi teisę atšaukti pateiktą paraišką, pateikti naują paraišką ir kitus Aprašo 17 punkte nurodytus dokumentus. Tokiu atveju turto nuomos konkurso dalyvių registracijos lape įrašoma, kad ankstesnė </w:t>
      </w:r>
      <w:r w:rsidRPr="009B3003">
        <w:rPr>
          <w:rFonts w:cs="Times New Roman"/>
          <w:sz w:val="22"/>
          <w:szCs w:val="22"/>
        </w:rPr>
        <w:lastRenderedPageBreak/>
        <w:t>paraiška atšaukta ir, jeigu pateikiamas naujas vokas, nurodoma naujo voko pateikimo data ir laikas. Turto nuomos konkurso dalyviui, pateikusiam voką su naujais dokumentais, suteikiamas naujas registracijos numeris. Draudžiama pateikti naują paraišką neatšaukus ankstesniosios. Turto nuomos konkurso dalyviui, atšaukusiam pateiktą paraišką, pateikti dokumentai grąžinami įvykus turto nuomos konkursui arba, jeigu dalyvauti turto nuomos konkurse neįsiregistruoja nė vienas kitas asmuo, pasibaigus dokumentų registravimo terminui.</w:t>
      </w:r>
    </w:p>
    <w:p w14:paraId="580EDC7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24. Iki Komisijos posėdžio pradžios turto nuomos konkurso dalyvių vokai su dokumentais neatplėšiami, kiti asmenys su duomenimis apie įregistruotus turto nuomos konkurso dalyvius nesupažindinami.</w:t>
      </w:r>
    </w:p>
    <w:p w14:paraId="4D2BF5C7" w14:textId="77777777" w:rsidR="009B3003" w:rsidRPr="009B3003" w:rsidRDefault="009B3003" w:rsidP="009B3003">
      <w:pPr>
        <w:pStyle w:val="Standard"/>
        <w:ind w:firstLine="851"/>
        <w:jc w:val="both"/>
        <w:rPr>
          <w:rFonts w:cs="Times New Roman"/>
          <w:sz w:val="22"/>
          <w:szCs w:val="22"/>
        </w:rPr>
      </w:pPr>
    </w:p>
    <w:p w14:paraId="2A80B081" w14:textId="77777777" w:rsidR="009B3003" w:rsidRPr="009B3003" w:rsidRDefault="009B3003" w:rsidP="009B3003">
      <w:pPr>
        <w:pStyle w:val="Standard"/>
        <w:tabs>
          <w:tab w:val="left" w:pos="2160"/>
          <w:tab w:val="left" w:pos="2565"/>
          <w:tab w:val="center" w:pos="6259"/>
        </w:tabs>
        <w:ind w:firstLine="851"/>
        <w:jc w:val="center"/>
        <w:rPr>
          <w:rFonts w:cs="Times New Roman"/>
          <w:b/>
          <w:bCs/>
          <w:sz w:val="22"/>
          <w:szCs w:val="22"/>
        </w:rPr>
      </w:pPr>
      <w:r w:rsidRPr="009B3003">
        <w:rPr>
          <w:rFonts w:cs="Times New Roman"/>
          <w:b/>
          <w:bCs/>
          <w:sz w:val="22"/>
          <w:szCs w:val="22"/>
        </w:rPr>
        <w:t>TREČIASIS SKIRSNIS</w:t>
      </w:r>
    </w:p>
    <w:p w14:paraId="26001D35" w14:textId="77777777" w:rsidR="009B3003" w:rsidRPr="009B3003" w:rsidRDefault="009B3003" w:rsidP="009B3003">
      <w:pPr>
        <w:pStyle w:val="Standard"/>
        <w:ind w:firstLine="851"/>
        <w:jc w:val="center"/>
        <w:rPr>
          <w:rFonts w:cs="Times New Roman"/>
          <w:b/>
          <w:bCs/>
          <w:sz w:val="22"/>
          <w:szCs w:val="22"/>
        </w:rPr>
      </w:pPr>
      <w:r w:rsidRPr="009B3003">
        <w:rPr>
          <w:rFonts w:cs="Times New Roman"/>
          <w:b/>
          <w:bCs/>
          <w:sz w:val="22"/>
          <w:szCs w:val="22"/>
        </w:rPr>
        <w:t>VIEŠOJO TURTO NUOMOS KONKURSO VYKDYMAS</w:t>
      </w:r>
    </w:p>
    <w:p w14:paraId="6D6D33A6" w14:textId="77777777" w:rsidR="009B3003" w:rsidRPr="009B3003" w:rsidRDefault="009B3003" w:rsidP="009B3003">
      <w:pPr>
        <w:pStyle w:val="Standard"/>
        <w:ind w:firstLine="851"/>
        <w:rPr>
          <w:rFonts w:cs="Times New Roman"/>
          <w:b/>
          <w:bCs/>
          <w:sz w:val="22"/>
          <w:szCs w:val="22"/>
        </w:rPr>
      </w:pPr>
    </w:p>
    <w:p w14:paraId="1163466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25. Komisijos posėdis turto nuomos konkurso laimėtojui nustatyti turi įvykti per turto nuomos konkurso sąlygose numatytą Komisijos posėdį. Iki Komisijos posėdžio pradžios Komisijos nariai turi pasirašyti nešališkumo deklaracijas.</w:t>
      </w:r>
    </w:p>
    <w:p w14:paraId="28903123"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26. Dalyvauti turto nuomos konkurse turi teisę įregistruoti turto nuomos konkurso dalyviai ar jų įgalioti atstovai. Turto nuomos konkurso dalyviai turi pateikti Komisijai turto nuomos konkurso dalyvio registracijos pažymėjimą ir asmens tapatybę patvirtinantį dokumentą.  </w:t>
      </w:r>
    </w:p>
    <w:p w14:paraId="3EB9D82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27. Per Komisijos posėdį turto nuomos konkurso dalyviai įsitikina, kad vokai su dokumentais nepažeisti, užklijuoti. Komisijos pirmininkas atplėšia vokus, nepažeisdamas voko užklijavimo juostos. Komisijos nariai, nustatę, kad turto nuomos konkurso dalyvių vokuose yra visi Aprašo 17 punkte nurodyti dokumentai, o paraiškose nurodyta visa reikiama informacija, skelbia turto nuomos konkurso dalyvių siūlomus nuompinigių dydžius. Paskelbti nuompinigių dydžiai ir juos pasiūlę turto nuomos konkurso dalyviai įrašomi protokole. Pirmasis įrašomas turto nuomos konkurso dalyvis, pasiūlęs didžiausią nuompinigių sumą.</w:t>
      </w:r>
    </w:p>
    <w:p w14:paraId="7AA5C167"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28. Kai išnuomojami pastatai ar patalpos, kuriems taikomos specialiosios charakteristikos, įskaitant leidimų sistemą, turto nuomos konkursas vykdomas dviem etapais. Pirmajame etape įvertinama, ar pasiūlymas atitinka specialiąsias charakteristikas, o reikalavimų neatitinkantys pasiūlymai atmetami. Antrajame etape vertinamas pasiūlyme nurodytas turto nuompinigių dydis.</w:t>
      </w:r>
    </w:p>
    <w:p w14:paraId="43F994F0"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29. Turto nuomos konkursą laimi turto nuomos konkurso dalyvis, paraiškoje pasiūlęs didžiausią turto nuompinigių dydį. Jeigu tokį patį (didžiausią) dydį pasiūlo keli turto nuomos konkurso dalyviai, laimėtoju pripažįstamas dalyvis, anksčiau įregistruotas turto nuomos konkurso dalyvių registracijos lape.</w:t>
      </w:r>
    </w:p>
    <w:p w14:paraId="58D3933A"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30. Kai turto nuomos konkursą laimi didžiausią turto nuompinigių dydį pasiūlęs, bet į Komisijos posėdį neatvykęs turto nuomos konkurso dalyvis, jam ne vėliau kaip per 3 darbo dienas nuo Komisijos protokolo pasirašymo Komisija registruotu laišku išsiunčia pranešimą, kuriame nurodomi tikslūs Turto nuomos sutarties pasirašymo data ir laikas, taip pat nurodoma galimybė turto nuomos konkurso laimėtojui suderinti kitą Turto nuomos sutarties pasirašymo datą ir laiką. Turto nuomos konkurso dalyviai, neatvykę į Komisijos posėdį, apie turto nuomos konkurso rezultatus informuojami raštu (jiems išsiunčiami pranešimai) per 3 darbo dienas nuo Komisijos protokolo pasirašymo. Turto nuomos konkurso dalyviai ar jų įgalioti atstovai turi teisę susipažinti su Komisijos protokolu.</w:t>
      </w:r>
    </w:p>
    <w:p w14:paraId="47C4025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31. Turto nuomos konkurso laimėtojas, negalintis atvykti nurodytu laiku pasirašyti Turto nuomos sutarties, turi ne vėliau kaip per 5 darbo dienas nuo pranešimo gavimo apie tai informuoti Komisiją ir suderinti kitą Turto nuomos sutarties pasirašymo datą. Jeigu turto nuomos konkurso dalyvis, pripažintas turto nuomos konkurso laimėtoju, atsisako sudaryti Turto nuomos sutartį arba nepranešęs, kad negali nurodytu laiku atvykti pasirašyti Turto nuomos sutarties, neatvyksta pasirašyti Turto nuomos sutarties, pradinis įnašas jam negrąžinamas. Tokiu atveju Komisijos sprendimu turto nuomos konkurso laimėtoju pripažįstamas kitas pagal eilę turto nuomos konkurso sąlygas atitinkančius dokumentus pateikęs turto nuomos konkurso dalyvis, pasiūlęs didžiausią turto nuompinigių dydį.</w:t>
      </w:r>
    </w:p>
    <w:p w14:paraId="4599CCF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32. Jeigu dalyvauti turto nuomos konkurse nustatyta tvarka užsiregistravo tik vienas turto nuomos konkurso dalyvis, jo pateikti dokumentai atitinka Aprašo 17 punkto reikalavimus ir jis pasiūlo  turto nuompinigių dydį, ne mažesnį už nustatytą pradinį  nuompinigių dydį, jis pripažįstamas turto nuomos konkurso laimėtoju. Turto nuomos konkurso laimėtojo pradinis įnašas įskaitomas į turto nuompinigius.</w:t>
      </w:r>
    </w:p>
    <w:p w14:paraId="385A17DF"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33. Jeigu dalyvauti turto nuomos konkurse neužsiregistravo nė vienas turto nuomos konkurso dalyvis arba visi turto nuomos konkurso dalyviai pasiūlo nuompinigių dydį, mažesnį už nustatytą pradinį nuompinigių </w:t>
      </w:r>
      <w:r w:rsidRPr="009B3003">
        <w:rPr>
          <w:rFonts w:cs="Times New Roman"/>
          <w:sz w:val="22"/>
          <w:szCs w:val="22"/>
        </w:rPr>
        <w:lastRenderedPageBreak/>
        <w:t>dydį, ir (ar) buvo pateikti ne visi Aprašo 17 punkte nurodyti dokumentai, skelbiama, kad turto nuomos konkursas neįvyko.</w:t>
      </w:r>
    </w:p>
    <w:p w14:paraId="7352998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34. Jeigu Aprašo 33  punkte nurodytais atvejais du kartus paskelbus </w:t>
      </w:r>
      <w:r w:rsidRPr="009B3003">
        <w:rPr>
          <w:rFonts w:eastAsia="Times New Roman" w:cs="Times New Roman"/>
          <w:sz w:val="22"/>
          <w:szCs w:val="22"/>
          <w:lang w:eastAsia="en-US" w:bidi="ar-SA"/>
        </w:rPr>
        <w:t xml:space="preserve">turto </w:t>
      </w:r>
      <w:r w:rsidRPr="009B3003">
        <w:rPr>
          <w:rFonts w:cs="Times New Roman"/>
          <w:sz w:val="22"/>
          <w:szCs w:val="22"/>
        </w:rPr>
        <w:t xml:space="preserve">nuomos konkursą pasiūlymo nepateikia nė vienas </w:t>
      </w:r>
      <w:r w:rsidRPr="009B3003">
        <w:rPr>
          <w:rFonts w:eastAsia="Times New Roman" w:cs="Times New Roman"/>
          <w:sz w:val="22"/>
          <w:szCs w:val="22"/>
          <w:lang w:eastAsia="en-US" w:bidi="ar-SA"/>
        </w:rPr>
        <w:t xml:space="preserve">turto </w:t>
      </w:r>
      <w:r w:rsidRPr="009B3003">
        <w:rPr>
          <w:rFonts w:cs="Times New Roman"/>
          <w:sz w:val="22"/>
          <w:szCs w:val="22"/>
        </w:rPr>
        <w:t>nuomos konkurso dalyvis, skelbiant to paties turto nuomos konkursą trečią kartą, pradinis turto nuompinigių dydis kiekviename kitame turto nuomos konkurse gali būti sumažintas iki 10 procentų nuo pradinio nuomos mokesčio dydžio, nustatyto prieš tai skelbtame turto nuomos konkurse, tačiau galutinis sumažinimas per kelis etapus negali būti didesnis nei 30 procentų.</w:t>
      </w:r>
    </w:p>
    <w:p w14:paraId="42D9CAB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35. Turto nuomos konkurso rezultatai įforminami per 3 darbo dienas protokolu, kurį pasirašo Komisijos pirmininkas ir nariai. Prie protokolo pridedama turto nuomos konkurso, </w:t>
      </w:r>
      <w:bookmarkStart w:id="4" w:name="_Hlk71209789"/>
      <w:r w:rsidRPr="009B3003">
        <w:rPr>
          <w:rFonts w:cs="Times New Roman"/>
          <w:sz w:val="22"/>
          <w:szCs w:val="22"/>
        </w:rPr>
        <w:t>skelbto turto nuomotojo interneto svetainėje, skelbimo kopija</w:t>
      </w:r>
      <w:bookmarkEnd w:id="4"/>
      <w:r w:rsidRPr="009B3003">
        <w:rPr>
          <w:rFonts w:cs="Times New Roman"/>
          <w:sz w:val="22"/>
          <w:szCs w:val="22"/>
        </w:rPr>
        <w:t xml:space="preserve"> </w:t>
      </w:r>
      <w:bookmarkStart w:id="5" w:name="_Hlk71209873"/>
      <w:r w:rsidRPr="009B3003">
        <w:rPr>
          <w:rFonts w:cs="Times New Roman"/>
          <w:sz w:val="22"/>
          <w:szCs w:val="22"/>
        </w:rPr>
        <w:t xml:space="preserve">su nurodyta </w:t>
      </w:r>
      <w:bookmarkStart w:id="6" w:name="_Hlk71209890"/>
      <w:bookmarkEnd w:id="5"/>
      <w:r w:rsidRPr="009B3003">
        <w:rPr>
          <w:rFonts w:cs="Times New Roman"/>
          <w:sz w:val="22"/>
          <w:szCs w:val="22"/>
        </w:rPr>
        <w:t>turto nuomos konkurso data</w:t>
      </w:r>
      <w:bookmarkEnd w:id="6"/>
      <w:r w:rsidRPr="009B3003">
        <w:rPr>
          <w:rFonts w:cs="Times New Roman"/>
          <w:sz w:val="22"/>
          <w:szCs w:val="22"/>
        </w:rPr>
        <w:t>.</w:t>
      </w:r>
    </w:p>
    <w:p w14:paraId="3843425F"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36. Turto nuomos konkurso dalyviams, nelaimėjusiems turto nuomos konkurso arba Aprašo 33 punkte nurodytu atveju turto nuomos konkursą paskelbus neįvykusiu, turto nuomotojas per</w:t>
      </w:r>
      <w:r w:rsidRPr="009B3003">
        <w:rPr>
          <w:rFonts w:cs="Times New Roman"/>
          <w:bCs/>
          <w:sz w:val="22"/>
          <w:szCs w:val="22"/>
        </w:rPr>
        <w:t xml:space="preserve"> 10 </w:t>
      </w:r>
      <w:r w:rsidRPr="009B3003">
        <w:rPr>
          <w:rFonts w:cs="Times New Roman"/>
          <w:sz w:val="22"/>
          <w:szCs w:val="22"/>
        </w:rPr>
        <w:t>darbo dienų po Komisijos protokolo pasirašymo grąžina pradinius įnašus į turto nuomos konkurso dalyvių dokumentuose nurodytas sąskaitas banke.</w:t>
      </w:r>
    </w:p>
    <w:p w14:paraId="0756199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37. Turto nuomotojas arba jo įgaliotas asmuo ir turto nuomos konkurso laimėtojas arba jo atstovas ne anksčiau kaip per 5 darbo dienas ir ne vėliau kaip per 10 darbo dienų nuo Komisijos protokolo pasirašymo dienos turi pasirašyti </w:t>
      </w:r>
      <w:bookmarkStart w:id="7" w:name="_Hlk79412734"/>
      <w:r w:rsidRPr="009B3003">
        <w:rPr>
          <w:rFonts w:cs="Times New Roman"/>
          <w:sz w:val="22"/>
          <w:szCs w:val="22"/>
        </w:rPr>
        <w:t xml:space="preserve">Turto nuomos </w:t>
      </w:r>
      <w:bookmarkEnd w:id="7"/>
      <w:r w:rsidRPr="009B3003">
        <w:rPr>
          <w:rFonts w:cs="Times New Roman"/>
          <w:sz w:val="22"/>
          <w:szCs w:val="22"/>
        </w:rPr>
        <w:t>sutartį.</w:t>
      </w:r>
    </w:p>
    <w:p w14:paraId="0D1FAE77"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38. Turto nuomotojas arba jo įgaliotas atstovas, pasirašę </w:t>
      </w:r>
      <w:r w:rsidRPr="009B3003">
        <w:rPr>
          <w:rFonts w:eastAsia="Times New Roman" w:cs="Times New Roman"/>
          <w:sz w:val="22"/>
          <w:szCs w:val="22"/>
          <w:lang w:eastAsia="en-US" w:bidi="km-KH"/>
        </w:rPr>
        <w:t xml:space="preserve">Turto nuomos </w:t>
      </w:r>
      <w:r w:rsidRPr="009B3003">
        <w:rPr>
          <w:rFonts w:cs="Times New Roman"/>
          <w:sz w:val="22"/>
          <w:szCs w:val="22"/>
        </w:rPr>
        <w:t>sutartį, privalo ne vėliau kaip per 5 darbo dienas nuo T</w:t>
      </w:r>
      <w:r w:rsidRPr="009B3003">
        <w:rPr>
          <w:rFonts w:eastAsia="Times New Roman" w:cs="Times New Roman"/>
          <w:sz w:val="22"/>
          <w:szCs w:val="22"/>
          <w:lang w:eastAsia="en-US" w:bidi="km-KH"/>
        </w:rPr>
        <w:t>urto nuomos</w:t>
      </w:r>
      <w:r w:rsidRPr="009B3003">
        <w:rPr>
          <w:rFonts w:cs="Times New Roman"/>
          <w:sz w:val="22"/>
          <w:szCs w:val="22"/>
        </w:rPr>
        <w:t xml:space="preserve"> sutarties pasirašymo dienos, kaip numatyta </w:t>
      </w:r>
      <w:r w:rsidRPr="009B3003">
        <w:rPr>
          <w:rFonts w:eastAsia="Times New Roman" w:cs="Times New Roman"/>
          <w:sz w:val="22"/>
          <w:szCs w:val="22"/>
          <w:lang w:eastAsia="en-US" w:bidi="km-KH"/>
        </w:rPr>
        <w:t>Turto nuomos</w:t>
      </w:r>
      <w:r w:rsidRPr="009B3003">
        <w:rPr>
          <w:rFonts w:cs="Times New Roman"/>
          <w:sz w:val="22"/>
          <w:szCs w:val="22"/>
        </w:rPr>
        <w:t xml:space="preserve"> sutartyje, perduoti turto nuomos konkurso laimėtojui arba jo atstovui nuomojamą turtą pagal Savivaldybės materialiojo turto perdavimo ir priėmimo aktą (toliau – Aktas, 3 priedas). Turto perdavimo data laikoma Akto pasirašymo data (paskutinės Aktą pasirašančios šalies pasirašymo data), todėl Aktą pasirašančios šalys privalo nurodyti pasirašymo datą.</w:t>
      </w:r>
    </w:p>
    <w:p w14:paraId="1374B61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39. Komisija bet kuriuo metu iki </w:t>
      </w:r>
      <w:r w:rsidRPr="009B3003">
        <w:rPr>
          <w:rFonts w:eastAsia="Times New Roman" w:cs="Times New Roman"/>
          <w:sz w:val="22"/>
          <w:szCs w:val="22"/>
          <w:lang w:eastAsia="en-US" w:bidi="km-KH"/>
        </w:rPr>
        <w:t xml:space="preserve">Turto nuomos </w:t>
      </w:r>
      <w:r w:rsidRPr="009B3003">
        <w:rPr>
          <w:rFonts w:cs="Times New Roman"/>
          <w:sz w:val="22"/>
          <w:szCs w:val="22"/>
        </w:rPr>
        <w:t>sutarties sudarymo turi teisę nutraukti turto nuomos konkurso procedūras, jeigu:</w:t>
      </w:r>
    </w:p>
    <w:p w14:paraId="7F7A664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39.1. atsiranda objektyvių aplinkybių, kurių nebuvo galima numatyti iki paskelbiant turto nuomos konkursą;</w:t>
      </w:r>
    </w:p>
    <w:p w14:paraId="15B35890"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39.2. paskelbus turto nuomos konkursą paaiškėja, kad turto nuoma negalima;</w:t>
      </w:r>
    </w:p>
    <w:p w14:paraId="1C5955F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39.3. jei reikia tikslinti turto nuomos konkurso sąlygas.</w:t>
      </w:r>
    </w:p>
    <w:p w14:paraId="2A43D3C7"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40. Turto nuomos konkurso dalyviai apie sprendimą nutraukti konkurso procedūras informuojami raštu (jiems išsiunčiami pranešimai), ir pradinis įnašas grąžinamas per 5 darbo dienas nuo sprendimo nutraukti turto nuomos konkursą priėmimo.</w:t>
      </w:r>
    </w:p>
    <w:p w14:paraId="0720341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41. Turto nuomos konkurso dalyviai turto nuomos konkurso rezultatus gali apskųsti Lietuvos Respublikos administracinių bylų teisenos įstatymo arba Lietuvos Respublikos civilinio proceso kodekso nustatyta tvarka.</w:t>
      </w:r>
    </w:p>
    <w:p w14:paraId="0140D1A0" w14:textId="77777777" w:rsidR="00355E8C" w:rsidRDefault="00355E8C" w:rsidP="009B3003">
      <w:pPr>
        <w:pStyle w:val="Standard"/>
        <w:shd w:val="clear" w:color="auto" w:fill="FFFFFF"/>
        <w:tabs>
          <w:tab w:val="left" w:pos="1125"/>
          <w:tab w:val="center" w:pos="4819"/>
        </w:tabs>
        <w:jc w:val="both"/>
        <w:rPr>
          <w:rFonts w:cs="Times New Roman"/>
          <w:sz w:val="22"/>
          <w:szCs w:val="22"/>
        </w:rPr>
      </w:pPr>
      <w:r>
        <w:rPr>
          <w:rFonts w:cs="Times New Roman"/>
          <w:sz w:val="22"/>
          <w:szCs w:val="22"/>
        </w:rPr>
        <w:t xml:space="preserve">                                                             </w:t>
      </w:r>
      <w:r>
        <w:rPr>
          <w:rFonts w:cs="Times New Roman"/>
          <w:sz w:val="22"/>
          <w:szCs w:val="22"/>
          <w:u w:val="single"/>
        </w:rPr>
        <w:t xml:space="preserve">               </w:t>
      </w:r>
      <w:r>
        <w:rPr>
          <w:rFonts w:cs="Times New Roman"/>
          <w:sz w:val="22"/>
          <w:szCs w:val="22"/>
          <w:u w:val="single"/>
        </w:rPr>
        <w:tab/>
      </w:r>
      <w:r>
        <w:rPr>
          <w:rFonts w:cs="Times New Roman"/>
          <w:sz w:val="22"/>
          <w:szCs w:val="22"/>
          <w:u w:val="single"/>
        </w:rPr>
        <w:tab/>
      </w:r>
      <w:r>
        <w:rPr>
          <w:rFonts w:cs="Times New Roman"/>
          <w:sz w:val="22"/>
          <w:szCs w:val="22"/>
          <w:u w:val="single"/>
        </w:rPr>
        <w:tab/>
      </w:r>
    </w:p>
    <w:p w14:paraId="2E6FC1F4" w14:textId="77777777" w:rsidR="00355E8C" w:rsidRDefault="00355E8C" w:rsidP="009B3003">
      <w:pPr>
        <w:pStyle w:val="Standard"/>
        <w:shd w:val="clear" w:color="auto" w:fill="FFFFFF"/>
        <w:tabs>
          <w:tab w:val="left" w:pos="1125"/>
          <w:tab w:val="center" w:pos="4819"/>
        </w:tabs>
        <w:jc w:val="both"/>
        <w:rPr>
          <w:rFonts w:cs="Times New Roman"/>
          <w:sz w:val="22"/>
          <w:szCs w:val="22"/>
        </w:rPr>
      </w:pPr>
    </w:p>
    <w:p w14:paraId="36F1CC2B" w14:textId="21BF8E1D" w:rsidR="00355E8C" w:rsidRPr="009B3003" w:rsidRDefault="00355E8C" w:rsidP="00355E8C">
      <w:pPr>
        <w:rPr>
          <w:rFonts w:cs="Times New Roman"/>
          <w:b/>
          <w:bCs/>
          <w:sz w:val="22"/>
          <w:szCs w:val="22"/>
        </w:rPr>
      </w:pPr>
      <w:r>
        <w:rPr>
          <w:rFonts w:cs="Times New Roman"/>
          <w:sz w:val="22"/>
          <w:szCs w:val="22"/>
        </w:rPr>
        <w:tab/>
        <w:t xml:space="preserve">                                                                                                                                </w:t>
      </w:r>
    </w:p>
    <w:sectPr w:rsidR="00355E8C" w:rsidRPr="009B300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none"/>
      <w:pStyle w:val="Antrat6"/>
      <w:suff w:val="nothing"/>
      <w:lvlText w:val=""/>
      <w:lvlJc w:val="left"/>
      <w:pPr>
        <w:tabs>
          <w:tab w:val="num" w:pos="0"/>
        </w:tabs>
        <w:ind w:left="0" w:firstLine="0"/>
      </w:pPr>
      <w:rPr>
        <w:b/>
        <w:bCs/>
        <w:color w:val="000000"/>
        <w:sz w:val="16"/>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42218E"/>
    <w:multiLevelType w:val="multilevel"/>
    <w:tmpl w:val="DB140726"/>
    <w:styleLink w:val="WWNum12"/>
    <w:lvl w:ilvl="0">
      <w:start w:val="47"/>
      <w:numFmt w:val="decimal"/>
      <w:lvlText w:val="%1."/>
      <w:lvlJc w:val="left"/>
      <w:pPr>
        <w:ind w:left="480" w:hanging="480"/>
      </w:pPr>
      <w:rPr>
        <w:rFonts w:eastAsia="Calibri" w:cs="Times New Roman"/>
      </w:rPr>
    </w:lvl>
    <w:lvl w:ilvl="1">
      <w:start w:val="3"/>
      <w:numFmt w:val="decimal"/>
      <w:lvlText w:val="%1.%2."/>
      <w:lvlJc w:val="left"/>
      <w:pPr>
        <w:ind w:left="1200" w:hanging="480"/>
      </w:pPr>
      <w:rPr>
        <w:rFonts w:eastAsia="Calibri" w:cs="Times New Roman"/>
      </w:rPr>
    </w:lvl>
    <w:lvl w:ilvl="2">
      <w:start w:val="1"/>
      <w:numFmt w:val="decimal"/>
      <w:lvlText w:val="%1.%2.%3."/>
      <w:lvlJc w:val="left"/>
      <w:pPr>
        <w:ind w:left="2160" w:hanging="720"/>
      </w:pPr>
      <w:rPr>
        <w:rFonts w:eastAsia="Calibri" w:cs="Times New Roman"/>
      </w:rPr>
    </w:lvl>
    <w:lvl w:ilvl="3">
      <w:start w:val="1"/>
      <w:numFmt w:val="decimal"/>
      <w:lvlText w:val="%1.%2.%3.%4."/>
      <w:lvlJc w:val="left"/>
      <w:pPr>
        <w:ind w:left="2880" w:hanging="720"/>
      </w:pPr>
      <w:rPr>
        <w:rFonts w:eastAsia="Calibri" w:cs="Times New Roman"/>
      </w:rPr>
    </w:lvl>
    <w:lvl w:ilvl="4">
      <w:start w:val="1"/>
      <w:numFmt w:val="decimal"/>
      <w:lvlText w:val="%1.%2.%3.%4.%5."/>
      <w:lvlJc w:val="left"/>
      <w:pPr>
        <w:ind w:left="3960" w:hanging="1080"/>
      </w:pPr>
      <w:rPr>
        <w:rFonts w:eastAsia="Calibri" w:cs="Times New Roman"/>
      </w:rPr>
    </w:lvl>
    <w:lvl w:ilvl="5">
      <w:start w:val="1"/>
      <w:numFmt w:val="decimal"/>
      <w:lvlText w:val="%1.%2.%3.%4.%5.%6."/>
      <w:lvlJc w:val="left"/>
      <w:pPr>
        <w:ind w:left="4680" w:hanging="1080"/>
      </w:pPr>
      <w:rPr>
        <w:rFonts w:eastAsia="Calibri" w:cs="Times New Roman"/>
      </w:rPr>
    </w:lvl>
    <w:lvl w:ilvl="6">
      <w:start w:val="1"/>
      <w:numFmt w:val="decimal"/>
      <w:lvlText w:val="%1.%2.%3.%4.%5.%6.%7."/>
      <w:lvlJc w:val="left"/>
      <w:pPr>
        <w:ind w:left="5760" w:hanging="1440"/>
      </w:pPr>
      <w:rPr>
        <w:rFonts w:eastAsia="Calibri" w:cs="Times New Roman"/>
      </w:rPr>
    </w:lvl>
    <w:lvl w:ilvl="7">
      <w:start w:val="1"/>
      <w:numFmt w:val="decimal"/>
      <w:lvlText w:val="%1.%2.%3.%4.%5.%6.%7.%8."/>
      <w:lvlJc w:val="left"/>
      <w:pPr>
        <w:ind w:left="6480" w:hanging="1440"/>
      </w:pPr>
      <w:rPr>
        <w:rFonts w:eastAsia="Calibri" w:cs="Times New Roman"/>
      </w:rPr>
    </w:lvl>
    <w:lvl w:ilvl="8">
      <w:start w:val="1"/>
      <w:numFmt w:val="decimal"/>
      <w:lvlText w:val="%1.%2.%3.%4.%5.%6.%7.%8.%9."/>
      <w:lvlJc w:val="left"/>
      <w:pPr>
        <w:ind w:left="7560" w:hanging="1800"/>
      </w:pPr>
      <w:rPr>
        <w:rFonts w:eastAsia="Calibri" w:cs="Times New Roman"/>
      </w:rPr>
    </w:lvl>
  </w:abstractNum>
  <w:abstractNum w:abstractNumId="2" w15:restartNumberingAfterBreak="0">
    <w:nsid w:val="66E405BE"/>
    <w:multiLevelType w:val="hybridMultilevel"/>
    <w:tmpl w:val="9F18D9A0"/>
    <w:lvl w:ilvl="0" w:tplc="E8D25008">
      <w:start w:val="1"/>
      <w:numFmt w:val="upperLetter"/>
      <w:lvlText w:val="%1."/>
      <w:lvlJc w:val="left"/>
      <w:pPr>
        <w:ind w:left="1710" w:hanging="360"/>
      </w:pPr>
      <w:rPr>
        <w:rFonts w:hint="default"/>
        <w:sz w:val="24"/>
      </w:rPr>
    </w:lvl>
    <w:lvl w:ilvl="1" w:tplc="04270019" w:tentative="1">
      <w:start w:val="1"/>
      <w:numFmt w:val="lowerLetter"/>
      <w:lvlText w:val="%2."/>
      <w:lvlJc w:val="left"/>
      <w:pPr>
        <w:ind w:left="2430" w:hanging="360"/>
      </w:pPr>
    </w:lvl>
    <w:lvl w:ilvl="2" w:tplc="0427001B" w:tentative="1">
      <w:start w:val="1"/>
      <w:numFmt w:val="lowerRoman"/>
      <w:lvlText w:val="%3."/>
      <w:lvlJc w:val="right"/>
      <w:pPr>
        <w:ind w:left="3150" w:hanging="180"/>
      </w:pPr>
    </w:lvl>
    <w:lvl w:ilvl="3" w:tplc="0427000F" w:tentative="1">
      <w:start w:val="1"/>
      <w:numFmt w:val="decimal"/>
      <w:lvlText w:val="%4."/>
      <w:lvlJc w:val="left"/>
      <w:pPr>
        <w:ind w:left="3870" w:hanging="360"/>
      </w:pPr>
    </w:lvl>
    <w:lvl w:ilvl="4" w:tplc="04270019" w:tentative="1">
      <w:start w:val="1"/>
      <w:numFmt w:val="lowerLetter"/>
      <w:lvlText w:val="%5."/>
      <w:lvlJc w:val="left"/>
      <w:pPr>
        <w:ind w:left="4590" w:hanging="360"/>
      </w:pPr>
    </w:lvl>
    <w:lvl w:ilvl="5" w:tplc="0427001B" w:tentative="1">
      <w:start w:val="1"/>
      <w:numFmt w:val="lowerRoman"/>
      <w:lvlText w:val="%6."/>
      <w:lvlJc w:val="right"/>
      <w:pPr>
        <w:ind w:left="5310" w:hanging="180"/>
      </w:pPr>
    </w:lvl>
    <w:lvl w:ilvl="6" w:tplc="0427000F" w:tentative="1">
      <w:start w:val="1"/>
      <w:numFmt w:val="decimal"/>
      <w:lvlText w:val="%7."/>
      <w:lvlJc w:val="left"/>
      <w:pPr>
        <w:ind w:left="6030" w:hanging="360"/>
      </w:pPr>
    </w:lvl>
    <w:lvl w:ilvl="7" w:tplc="04270019" w:tentative="1">
      <w:start w:val="1"/>
      <w:numFmt w:val="lowerLetter"/>
      <w:lvlText w:val="%8."/>
      <w:lvlJc w:val="left"/>
      <w:pPr>
        <w:ind w:left="6750" w:hanging="360"/>
      </w:pPr>
    </w:lvl>
    <w:lvl w:ilvl="8" w:tplc="0427001B" w:tentative="1">
      <w:start w:val="1"/>
      <w:numFmt w:val="lowerRoman"/>
      <w:lvlText w:val="%9."/>
      <w:lvlJc w:val="right"/>
      <w:pPr>
        <w:ind w:left="7470" w:hanging="180"/>
      </w:pPr>
    </w:lvl>
  </w:abstractNum>
  <w:num w:numId="1" w16cid:durableId="429860398">
    <w:abstractNumId w:val="1"/>
  </w:num>
  <w:num w:numId="2" w16cid:durableId="1750730568">
    <w:abstractNumId w:val="0"/>
  </w:num>
  <w:num w:numId="3" w16cid:durableId="2122797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933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03"/>
    <w:rsid w:val="002B0D70"/>
    <w:rsid w:val="002F3F3F"/>
    <w:rsid w:val="00310763"/>
    <w:rsid w:val="00355E8C"/>
    <w:rsid w:val="005B6BB9"/>
    <w:rsid w:val="006006AC"/>
    <w:rsid w:val="009B3003"/>
    <w:rsid w:val="00A325EC"/>
    <w:rsid w:val="00AD54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C799"/>
  <w15:chartTrackingRefBased/>
  <w15:docId w15:val="{F83ED797-DBAB-40DD-A2C0-D58A976A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3003"/>
    <w:pPr>
      <w:widowControl w:val="0"/>
      <w:suppressAutoHyphens/>
      <w:spacing w:after="0" w:line="240" w:lineRule="auto"/>
    </w:pPr>
    <w:rPr>
      <w:rFonts w:ascii="Times New Roman" w:eastAsia="Lucida Sans Unicode" w:hAnsi="Times New Roman" w:cs="Mangal"/>
      <w:kern w:val="2"/>
      <w:sz w:val="24"/>
      <w:szCs w:val="24"/>
      <w:lang w:eastAsia="hi-IN" w:bidi="hi-IN"/>
    </w:rPr>
  </w:style>
  <w:style w:type="paragraph" w:styleId="Antrat6">
    <w:name w:val="heading 6"/>
    <w:basedOn w:val="prastasis"/>
    <w:next w:val="Pagrindinistekstas"/>
    <w:link w:val="Antrat6Diagrama"/>
    <w:qFormat/>
    <w:rsid w:val="009B3003"/>
    <w:pPr>
      <w:keepNext/>
      <w:numPr>
        <w:numId w:val="2"/>
      </w:numPr>
      <w:spacing w:before="240" w:after="120"/>
      <w:outlineLvl w:val="5"/>
    </w:pPr>
    <w:rPr>
      <w:rFonts w:ascii="Arial" w:hAnsi="Arial"/>
      <w:b/>
      <w:kern w:val="1"/>
      <w:sz w:val="21"/>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qFormat/>
    <w:rsid w:val="009B3003"/>
    <w:pPr>
      <w:suppressAutoHyphens/>
      <w:autoSpaceDN w:val="0"/>
      <w:spacing w:after="0" w:line="240" w:lineRule="auto"/>
      <w:textAlignment w:val="baseline"/>
    </w:pPr>
    <w:rPr>
      <w:rFonts w:ascii="Times New Roman" w:eastAsia="Lucida Sans Unicode" w:hAnsi="Times New Roman" w:cs="Mangal"/>
      <w:kern w:val="3"/>
      <w:sz w:val="24"/>
      <w:szCs w:val="24"/>
      <w:lang w:eastAsia="hi-IN" w:bidi="hi-IN"/>
    </w:rPr>
  </w:style>
  <w:style w:type="numbering" w:customStyle="1" w:styleId="WWNum12">
    <w:name w:val="WWNum12"/>
    <w:basedOn w:val="Sraonra"/>
    <w:rsid w:val="009B3003"/>
    <w:pPr>
      <w:numPr>
        <w:numId w:val="1"/>
      </w:numPr>
    </w:pPr>
  </w:style>
  <w:style w:type="character" w:customStyle="1" w:styleId="Antrat6Diagrama">
    <w:name w:val="Antraštė 6 Diagrama"/>
    <w:basedOn w:val="Numatytasispastraiposriftas"/>
    <w:link w:val="Antrat6"/>
    <w:rsid w:val="009B3003"/>
    <w:rPr>
      <w:rFonts w:ascii="Arial" w:eastAsia="Lucida Sans Unicode" w:hAnsi="Arial" w:cs="Mangal"/>
      <w:b/>
      <w:kern w:val="1"/>
      <w:sz w:val="21"/>
      <w:szCs w:val="28"/>
      <w:lang w:eastAsia="hi-IN" w:bidi="hi-IN"/>
    </w:rPr>
  </w:style>
  <w:style w:type="paragraph" w:styleId="Pagrindinistekstas">
    <w:name w:val="Body Text"/>
    <w:basedOn w:val="prastasis"/>
    <w:link w:val="PagrindinistekstasDiagrama"/>
    <w:rsid w:val="009B3003"/>
    <w:pPr>
      <w:spacing w:after="120"/>
    </w:pPr>
    <w:rPr>
      <w:kern w:val="1"/>
    </w:rPr>
  </w:style>
  <w:style w:type="character" w:customStyle="1" w:styleId="PagrindinistekstasDiagrama">
    <w:name w:val="Pagrindinis tekstas Diagrama"/>
    <w:basedOn w:val="Numatytasispastraiposriftas"/>
    <w:link w:val="Pagrindinistekstas"/>
    <w:rsid w:val="009B3003"/>
    <w:rPr>
      <w:rFonts w:ascii="Times New Roman" w:eastAsia="Lucida Sans Unicode" w:hAnsi="Times New Roman" w:cs="Mangal"/>
      <w:kern w:val="1"/>
      <w:sz w:val="24"/>
      <w:szCs w:val="24"/>
      <w:lang w:eastAsia="hi-IN" w:bidi="hi-IN"/>
    </w:rPr>
  </w:style>
  <w:style w:type="paragraph" w:styleId="Sraopastraipa">
    <w:name w:val="List Paragraph"/>
    <w:basedOn w:val="prastasis"/>
    <w:uiPriority w:val="34"/>
    <w:qFormat/>
    <w:rsid w:val="009B3003"/>
    <w:pPr>
      <w:ind w:left="720"/>
      <w:contextualSpacing/>
    </w:pPr>
    <w:rPr>
      <w:kern w:val="1"/>
      <w:szCs w:val="21"/>
    </w:rPr>
  </w:style>
  <w:style w:type="paragraph" w:customStyle="1" w:styleId="WW-Tekstas">
    <w:name w:val="WW-Tekstas"/>
    <w:basedOn w:val="prastasis"/>
    <w:qFormat/>
    <w:rsid w:val="009B3003"/>
    <w:pPr>
      <w:widowControl/>
      <w:jc w:val="both"/>
      <w:textAlignment w:val="baseline"/>
    </w:pPr>
    <w:rPr>
      <w:rFonts w:eastAsia="Times New Roman" w:cs="Times New Roman"/>
      <w:szCs w:val="20"/>
      <w:lang w:eastAsia="ar-SA" w:bidi="ar-SA"/>
    </w:rPr>
  </w:style>
  <w:style w:type="paragraph" w:customStyle="1" w:styleId="Textbody">
    <w:name w:val="Text body"/>
    <w:basedOn w:val="Standard"/>
    <w:qFormat/>
    <w:rsid w:val="009B3003"/>
    <w:pPr>
      <w:widowControl w:val="0"/>
      <w:autoSpaceDN/>
      <w:spacing w:after="120"/>
    </w:pPr>
    <w:rPr>
      <w:kern w:val="2"/>
    </w:rPr>
  </w:style>
  <w:style w:type="character" w:customStyle="1" w:styleId="acopre">
    <w:name w:val="acopre"/>
    <w:basedOn w:val="Numatytasispastraiposriftas"/>
    <w:rsid w:val="009B3003"/>
  </w:style>
  <w:style w:type="character" w:styleId="Emfaz">
    <w:name w:val="Emphasis"/>
    <w:basedOn w:val="Numatytasispastraiposriftas"/>
    <w:uiPriority w:val="20"/>
    <w:qFormat/>
    <w:rsid w:val="009B3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7692</Words>
  <Characters>4385</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 Petraitienė</dc:creator>
  <cp:keywords/>
  <dc:description/>
  <cp:lastModifiedBy>Deimantas Pučinskis</cp:lastModifiedBy>
  <cp:revision>4</cp:revision>
  <cp:lastPrinted>2024-01-30T10:03:00Z</cp:lastPrinted>
  <dcterms:created xsi:type="dcterms:W3CDTF">2023-12-04T09:05:00Z</dcterms:created>
  <dcterms:modified xsi:type="dcterms:W3CDTF">2025-01-08T09:20:00Z</dcterms:modified>
</cp:coreProperties>
</file>